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FB3" w:rsidRPr="004C6B23" w:rsidRDefault="007975E5" w:rsidP="0038512A">
      <w:pPr>
        <w:spacing w:after="0"/>
        <w:jc w:val="center"/>
        <w:rPr>
          <w:rFonts w:ascii="Times New Roman" w:hAnsi="Times New Roman" w:cs="Times New Roman"/>
          <w:spacing w:val="38"/>
          <w:sz w:val="36"/>
          <w:szCs w:val="36"/>
        </w:rPr>
      </w:pPr>
      <w:r>
        <w:rPr>
          <w:rFonts w:ascii="Times New Roman" w:hAnsi="Times New Roman" w:cs="Times New Roman"/>
          <w:spacing w:val="38"/>
          <w:sz w:val="36"/>
          <w:szCs w:val="36"/>
        </w:rPr>
        <w:t>PEPPM</w:t>
      </w:r>
      <w:r w:rsidR="007F3BEC">
        <w:rPr>
          <w:rFonts w:ascii="Times New Roman" w:hAnsi="Times New Roman" w:cs="Times New Roman"/>
          <w:spacing w:val="38"/>
          <w:sz w:val="36"/>
          <w:szCs w:val="36"/>
        </w:rPr>
        <w:t xml:space="preserve"> Product </w:t>
      </w:r>
      <w:r w:rsidR="0038512A">
        <w:rPr>
          <w:rFonts w:ascii="Times New Roman" w:hAnsi="Times New Roman" w:cs="Times New Roman"/>
          <w:spacing w:val="38"/>
          <w:sz w:val="36"/>
          <w:szCs w:val="36"/>
        </w:rPr>
        <w:t xml:space="preserve">Line </w:t>
      </w:r>
      <w:r w:rsidR="00234E30">
        <w:rPr>
          <w:rFonts w:ascii="Times New Roman" w:hAnsi="Times New Roman" w:cs="Times New Roman"/>
          <w:spacing w:val="38"/>
          <w:sz w:val="36"/>
          <w:szCs w:val="36"/>
        </w:rPr>
        <w:t>2019</w:t>
      </w:r>
      <w:r w:rsidR="005560F1">
        <w:rPr>
          <w:rFonts w:ascii="Times New Roman" w:hAnsi="Times New Roman" w:cs="Times New Roman"/>
          <w:spacing w:val="38"/>
          <w:sz w:val="36"/>
          <w:szCs w:val="36"/>
        </w:rPr>
        <w:t xml:space="preserve"> </w:t>
      </w:r>
      <w:r w:rsidR="0038512A">
        <w:rPr>
          <w:rFonts w:ascii="Times New Roman" w:hAnsi="Times New Roman" w:cs="Times New Roman"/>
          <w:spacing w:val="38"/>
          <w:sz w:val="36"/>
          <w:szCs w:val="36"/>
        </w:rPr>
        <w:t>Bid Award</w:t>
      </w:r>
    </w:p>
    <w:p w:rsidR="00C75FB3" w:rsidRPr="004C6B23" w:rsidRDefault="00C75FB3" w:rsidP="00C75FB3">
      <w:pPr>
        <w:pStyle w:val="Default"/>
      </w:pPr>
    </w:p>
    <w:p w:rsidR="00C75FB3" w:rsidRPr="00983F9C" w:rsidRDefault="00913138" w:rsidP="004C6B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3F9C">
        <w:rPr>
          <w:rFonts w:ascii="Times New Roman" w:hAnsi="Times New Roman" w:cs="Times New Roman"/>
          <w:i/>
          <w:sz w:val="24"/>
          <w:szCs w:val="24"/>
        </w:rPr>
        <w:t xml:space="preserve">PEPPM </w:t>
      </w:r>
      <w:r w:rsidR="00C75FB3" w:rsidRPr="00983F9C">
        <w:rPr>
          <w:rFonts w:ascii="Times New Roman" w:hAnsi="Times New Roman" w:cs="Times New Roman"/>
          <w:i/>
          <w:sz w:val="24"/>
          <w:szCs w:val="24"/>
        </w:rPr>
        <w:t>is a technology bidding and purchasing program established in 1982 for education agencies. PEPPM is a nationally affiliated group of agencies coordinated by the Central Susquehanna Intermediate Unit (CSIU), a regional educational service agency incorporated by Pennsylvania Legislative Act of 1971, in Pennsylvania.</w:t>
      </w:r>
    </w:p>
    <w:p w:rsidR="00C75FB3" w:rsidRPr="004C6B23" w:rsidRDefault="00C75FB3" w:rsidP="00983F9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983F9C" w:rsidRDefault="00983F9C" w:rsidP="004C6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6B23" w:rsidRPr="004C6B23" w:rsidRDefault="00666838" w:rsidP="004C6B23">
      <w:pPr>
        <w:pStyle w:val="Default"/>
        <w:jc w:val="both"/>
        <w:rPr>
          <w:b/>
        </w:rPr>
      </w:pPr>
      <w:r>
        <w:rPr>
          <w:b/>
        </w:rPr>
        <w:t>Eligible Agencies</w:t>
      </w:r>
    </w:p>
    <w:p w:rsidR="00C75FB3" w:rsidRPr="004C6B23" w:rsidRDefault="004C6B23" w:rsidP="004C6B23">
      <w:pPr>
        <w:pStyle w:val="Default"/>
        <w:jc w:val="both"/>
      </w:pPr>
      <w:r>
        <w:t>P</w:t>
      </w:r>
      <w:r w:rsidR="00C75FB3" w:rsidRPr="004C6B23">
        <w:t xml:space="preserve">ublic school districts; area vocational technical schools (AVTS units); BOCES; state-approved private schools; public libraries; non-public schools; state-approved charter schools; community colleges; </w:t>
      </w:r>
      <w:r>
        <w:t>colleges and universities</w:t>
      </w:r>
      <w:r w:rsidR="00C75FB3" w:rsidRPr="004C6B23">
        <w:t>; county governments, local municipalities, county/municipal autho</w:t>
      </w:r>
      <w:r>
        <w:t>rities, and special districts</w:t>
      </w:r>
      <w:r w:rsidR="00C75FB3" w:rsidRPr="004C6B23">
        <w:t>; state agencies; other non</w:t>
      </w:r>
      <w:r>
        <w:t>-profit organizations</w:t>
      </w:r>
    </w:p>
    <w:p w:rsidR="00913138" w:rsidRDefault="00913138" w:rsidP="004C6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4B95" w:rsidRDefault="002B4B95" w:rsidP="002B4B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Contract #: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34E30">
        <w:rPr>
          <w:rFonts w:ascii="Times New Roman" w:hAnsi="Times New Roman" w:cs="Times New Roman"/>
          <w:b/>
          <w:sz w:val="24"/>
          <w:szCs w:val="24"/>
        </w:rPr>
        <w:t>528897</w:t>
      </w:r>
    </w:p>
    <w:p w:rsidR="002B4B95" w:rsidRDefault="002B4B95" w:rsidP="002B4B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4B95" w:rsidRDefault="002B4B95" w:rsidP="002B4B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Contract Awards</w:t>
      </w:r>
      <w:r w:rsidRPr="004C6B23">
        <w:rPr>
          <w:rFonts w:ascii="Times New Roman" w:hAnsi="Times New Roman" w:cs="Times New Roman"/>
          <w:b/>
          <w:sz w:val="24"/>
          <w:szCs w:val="24"/>
        </w:rPr>
        <w:t>:</w:t>
      </w:r>
      <w:r w:rsidRPr="004C6B23">
        <w:rPr>
          <w:rFonts w:ascii="Times New Roman" w:hAnsi="Times New Roman" w:cs="Times New Roman"/>
          <w:sz w:val="24"/>
          <w:szCs w:val="24"/>
        </w:rPr>
        <w:t xml:space="preserve">  </w:t>
      </w:r>
      <w:r w:rsidR="00234E30">
        <w:rPr>
          <w:rFonts w:ascii="Times New Roman" w:hAnsi="Times New Roman" w:cs="Times New Roman"/>
          <w:sz w:val="24"/>
          <w:szCs w:val="24"/>
        </w:rPr>
        <w:tab/>
        <w:t>Product Line Bid Award 2019</w:t>
      </w:r>
      <w:r>
        <w:rPr>
          <w:rFonts w:ascii="Times New Roman" w:hAnsi="Times New Roman" w:cs="Times New Roman"/>
          <w:sz w:val="24"/>
          <w:szCs w:val="24"/>
        </w:rPr>
        <w:t xml:space="preserve"> for specific vendor lines listed below</w:t>
      </w:r>
    </w:p>
    <w:p w:rsidR="00207B1B" w:rsidRDefault="00207B1B" w:rsidP="00207B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89" w:type="dxa"/>
        <w:tblLook w:val="04A0" w:firstRow="1" w:lastRow="0" w:firstColumn="1" w:lastColumn="0" w:noHBand="0" w:noVBand="1"/>
      </w:tblPr>
      <w:tblGrid>
        <w:gridCol w:w="2155"/>
        <w:gridCol w:w="990"/>
        <w:gridCol w:w="990"/>
        <w:gridCol w:w="3420"/>
        <w:gridCol w:w="720"/>
        <w:gridCol w:w="1080"/>
        <w:gridCol w:w="2614"/>
        <w:gridCol w:w="960"/>
        <w:gridCol w:w="960"/>
      </w:tblGrid>
      <w:tr w:rsidR="004A4B37" w:rsidRPr="004A4B37" w:rsidTr="004A4B37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25252" w:themeColor="accent3" w:themeShade="80"/>
              </w:rPr>
            </w:pPr>
            <w:r w:rsidRPr="004A4B37">
              <w:rPr>
                <w:rFonts w:ascii="Calibri" w:eastAsia="Times New Roman" w:hAnsi="Calibri" w:cs="Calibri"/>
                <w:b/>
                <w:bCs/>
                <w:color w:val="525252" w:themeColor="accent3" w:themeShade="80"/>
              </w:rPr>
              <w:t>MANUFACTURER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 w:themeColor="accent3" w:themeShade="80"/>
              </w:rPr>
            </w:pPr>
            <w:r w:rsidRPr="004A4B37">
              <w:rPr>
                <w:rFonts w:ascii="Calibri" w:eastAsia="Times New Roman" w:hAnsi="Calibri" w:cs="Calibri"/>
                <w:color w:val="525252" w:themeColor="accent3" w:themeShade="80"/>
              </w:rPr>
              <w:t>PA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 w:themeColor="accent3" w:themeShade="80"/>
              </w:rPr>
            </w:pPr>
            <w:r w:rsidRPr="004A4B37">
              <w:rPr>
                <w:rFonts w:ascii="Calibri" w:eastAsia="Times New Roman" w:hAnsi="Calibri" w:cs="Calibri"/>
                <w:color w:val="525252" w:themeColor="accent3" w:themeShade="80"/>
              </w:rPr>
              <w:t>CA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25252" w:themeColor="accent3" w:themeShade="80"/>
              </w:rPr>
            </w:pPr>
            <w:r w:rsidRPr="004A4B37">
              <w:rPr>
                <w:rFonts w:ascii="Calibri" w:eastAsia="Times New Roman" w:hAnsi="Calibri" w:cs="Calibri"/>
                <w:b/>
                <w:bCs/>
                <w:color w:val="525252" w:themeColor="accent3" w:themeShade="80"/>
              </w:rPr>
              <w:t>MANUFACTURER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 w:themeColor="accent3" w:themeShade="80"/>
              </w:rPr>
            </w:pPr>
            <w:r w:rsidRPr="004A4B37">
              <w:rPr>
                <w:rFonts w:ascii="Calibri" w:eastAsia="Times New Roman" w:hAnsi="Calibri" w:cs="Calibri"/>
                <w:color w:val="525252" w:themeColor="accent3" w:themeShade="80"/>
              </w:rPr>
              <w:t>PA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 w:themeColor="accent3" w:themeShade="80"/>
              </w:rPr>
            </w:pPr>
            <w:r w:rsidRPr="004A4B37">
              <w:rPr>
                <w:rFonts w:ascii="Calibri" w:eastAsia="Times New Roman" w:hAnsi="Calibri" w:cs="Calibri"/>
                <w:color w:val="525252" w:themeColor="accent3" w:themeShade="80"/>
              </w:rPr>
              <w:t>CA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25252" w:themeColor="accent3" w:themeShade="80"/>
              </w:rPr>
            </w:pPr>
            <w:r w:rsidRPr="004A4B37">
              <w:rPr>
                <w:rFonts w:ascii="Calibri" w:eastAsia="Times New Roman" w:hAnsi="Calibri" w:cs="Calibri"/>
                <w:b/>
                <w:bCs/>
                <w:color w:val="525252" w:themeColor="accent3" w:themeShade="80"/>
              </w:rPr>
              <w:t>MANUFACTURER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 w:themeColor="accent3" w:themeShade="80"/>
              </w:rPr>
            </w:pPr>
            <w:r w:rsidRPr="004A4B37">
              <w:rPr>
                <w:rFonts w:ascii="Calibri" w:eastAsia="Times New Roman" w:hAnsi="Calibri" w:cs="Calibri"/>
                <w:color w:val="525252" w:themeColor="accent3" w:themeShade="80"/>
              </w:rPr>
              <w:t>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 w:themeColor="accent3" w:themeShade="80"/>
              </w:rPr>
            </w:pPr>
            <w:r w:rsidRPr="004A4B37">
              <w:rPr>
                <w:rFonts w:ascii="Calibri" w:eastAsia="Times New Roman" w:hAnsi="Calibri" w:cs="Calibri"/>
                <w:color w:val="525252" w:themeColor="accent3" w:themeShade="80"/>
              </w:rPr>
              <w:t>CA</w:t>
            </w:r>
          </w:p>
        </w:tc>
      </w:tr>
      <w:tr w:rsidR="004A4B37" w:rsidRPr="004A4B37" w:rsidTr="004A4B37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Absolute Software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Fortinet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proofErr w:type="spellStart"/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Radware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</w:tr>
      <w:tr w:rsidR="004A4B37" w:rsidRPr="004A4B37" w:rsidTr="004A4B37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proofErr w:type="spellStart"/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Avizia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HP 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Red Hat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</w:tr>
      <w:tr w:rsidR="004A4B37" w:rsidRPr="004A4B37" w:rsidTr="004A4B37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Axiom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HP, Inc. - Computers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proofErr w:type="spellStart"/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Revolabs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</w:tr>
      <w:tr w:rsidR="004A4B37" w:rsidRPr="004A4B37" w:rsidTr="004A4B37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Barracuda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Lifesize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Scale Computing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</w:tr>
      <w:tr w:rsidR="004A4B37" w:rsidRPr="004A4B37" w:rsidTr="004A4B37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Checkpoint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Microsoft Hardware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Seal Shield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</w:tr>
      <w:tr w:rsidR="004A4B37" w:rsidRPr="004A4B37" w:rsidTr="004A4B37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proofErr w:type="spellStart"/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Ciena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Microsoft Software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Storagecraft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</w:tr>
      <w:tr w:rsidR="004A4B37" w:rsidRPr="004A4B37" w:rsidTr="004A4B37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proofErr w:type="spellStart"/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Compulocks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Minuteman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Symantec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</w:tr>
      <w:tr w:rsidR="004A4B37" w:rsidRPr="004A4B37" w:rsidTr="004A4B37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Corel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proofErr w:type="spellStart"/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Netop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Urban Armor Gear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</w:tr>
      <w:tr w:rsidR="004A4B37" w:rsidRPr="004A4B37" w:rsidTr="004A4B37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proofErr w:type="spellStart"/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Cradlepoint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Otter Box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Varonis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</w:tr>
      <w:tr w:rsidR="004A4B37" w:rsidRPr="004A4B37" w:rsidTr="004A4B37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D-Link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Palo Alto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proofErr w:type="spellStart"/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Watchguard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</w:tr>
      <w:tr w:rsidR="004A4B37" w:rsidRPr="004A4B37" w:rsidTr="004A4B37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proofErr w:type="spellStart"/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Ergotech</w:t>
            </w:r>
            <w:proofErr w:type="spellEnd"/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 xml:space="preserve"> Group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Pyramid Time Systems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Yuneec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</w:tr>
      <w:tr w:rsidR="004A4B37" w:rsidRPr="004A4B37" w:rsidTr="004A4B37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Formax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37" w:rsidRPr="004A4B37" w:rsidRDefault="004A4B37" w:rsidP="004A4B3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5" w:themeShade="BF"/>
              </w:rPr>
            </w:pPr>
            <w:r w:rsidRPr="004A4B37">
              <w:rPr>
                <w:rFonts w:ascii="Calibri" w:eastAsia="Times New Roman" w:hAnsi="Calibri" w:cs="Calibri"/>
                <w:color w:val="2F5496" w:themeColor="accent5" w:themeShade="BF"/>
              </w:rPr>
              <w:t> </w:t>
            </w:r>
          </w:p>
        </w:tc>
      </w:tr>
    </w:tbl>
    <w:p w:rsidR="00C332C3" w:rsidRDefault="00C332C3" w:rsidP="004C6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4B37" w:rsidRDefault="004A4B37" w:rsidP="005560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60F1" w:rsidRDefault="005560F1" w:rsidP="005560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Contract Discounts</w:t>
      </w:r>
      <w:bookmarkStart w:id="0" w:name="_GoBack"/>
      <w:bookmarkEnd w:id="0"/>
    </w:p>
    <w:p w:rsidR="005560F1" w:rsidRPr="00F232E1" w:rsidRDefault="005560F1" w:rsidP="005560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Discounts offered under this contract will vary depending on the manufacturer and product. Please be aware that additional discounts may be available on larger quantity deals.</w:t>
      </w:r>
    </w:p>
    <w:p w:rsidR="005560F1" w:rsidRPr="004C6B23" w:rsidRDefault="005560F1" w:rsidP="005560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6B23">
        <w:rPr>
          <w:rFonts w:ascii="Times New Roman" w:hAnsi="Times New Roman" w:cs="Times New Roman"/>
          <w:b/>
          <w:sz w:val="24"/>
          <w:szCs w:val="24"/>
        </w:rPr>
        <w:t>Dealer Program</w:t>
      </w:r>
    </w:p>
    <w:p w:rsidR="005560F1" w:rsidRDefault="005560F1" w:rsidP="005560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0D07">
        <w:rPr>
          <w:rFonts w:ascii="Times New Roman" w:eastAsia="Calibri" w:hAnsi="Times New Roman" w:cs="Times New Roman"/>
          <w:sz w:val="24"/>
          <w:szCs w:val="24"/>
        </w:rPr>
        <w:t xml:space="preserve">SYNNEX has implemented a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B20D07">
        <w:rPr>
          <w:rFonts w:ascii="Times New Roman" w:eastAsia="Calibri" w:hAnsi="Times New Roman" w:cs="Times New Roman"/>
          <w:sz w:val="24"/>
          <w:szCs w:val="24"/>
        </w:rPr>
        <w:t xml:space="preserve">ealer Program that provides select reseller partners the ability to sell 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Eligible Agencies </w:t>
      </w:r>
      <w:r w:rsidRPr="00B20D07">
        <w:rPr>
          <w:rFonts w:ascii="Times New Roman" w:eastAsia="Calibri" w:hAnsi="Times New Roman" w:cs="Times New Roman"/>
          <w:sz w:val="24"/>
          <w:szCs w:val="24"/>
        </w:rPr>
        <w:t xml:space="preserve">using this contract.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Dealers represent our contract assisting in all levels of onsite customer service.  </w:t>
      </w:r>
      <w:r w:rsidRPr="00B20D07">
        <w:rPr>
          <w:rFonts w:ascii="Times New Roman" w:eastAsia="Calibri" w:hAnsi="Times New Roman" w:cs="Times New Roman"/>
          <w:sz w:val="24"/>
          <w:szCs w:val="24"/>
        </w:rPr>
        <w:t>The Dealer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D07">
        <w:rPr>
          <w:rFonts w:ascii="Times New Roman" w:eastAsia="Calibri" w:hAnsi="Times New Roman" w:cs="Times New Roman"/>
          <w:sz w:val="24"/>
          <w:szCs w:val="24"/>
        </w:rPr>
        <w:t>is a</w:t>
      </w:r>
      <w:r>
        <w:rPr>
          <w:rFonts w:ascii="Times New Roman" w:eastAsia="Calibri" w:hAnsi="Times New Roman" w:cs="Times New Roman"/>
          <w:sz w:val="24"/>
          <w:szCs w:val="24"/>
        </w:rPr>
        <w:t xml:space="preserve">uthorized to bill the Eligible Agencies </w:t>
      </w:r>
      <w:r w:rsidRPr="00B20D07">
        <w:rPr>
          <w:rFonts w:ascii="Times New Roman" w:eastAsia="Calibri" w:hAnsi="Times New Roman" w:cs="Times New Roman"/>
          <w:sz w:val="24"/>
          <w:szCs w:val="24"/>
        </w:rPr>
        <w:t>and accept payment on behalf of SYNNEX</w:t>
      </w:r>
    </w:p>
    <w:p w:rsidR="005560F1" w:rsidRDefault="005560F1" w:rsidP="005560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60F1" w:rsidRPr="003830EA" w:rsidRDefault="005560F1" w:rsidP="005560F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Dealer </w:t>
      </w:r>
      <w:r w:rsidRPr="003830EA">
        <w:rPr>
          <w:rFonts w:ascii="Times New Roman" w:eastAsia="Calibri" w:hAnsi="Times New Roman" w:cs="Times New Roman"/>
          <w:b/>
          <w:sz w:val="24"/>
          <w:szCs w:val="24"/>
        </w:rPr>
        <w:t>Required Documentation</w:t>
      </w:r>
    </w:p>
    <w:p w:rsidR="005560F1" w:rsidRDefault="005560F1" w:rsidP="005560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-Epylon Reseller Account Profile Form</w:t>
      </w:r>
    </w:p>
    <w:p w:rsidR="005560F1" w:rsidRDefault="005560F1" w:rsidP="005560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-SYNNEX PEPPM Participating Dealer Agreement and </w:t>
      </w:r>
      <w:r w:rsidR="00234E30">
        <w:rPr>
          <w:rFonts w:ascii="Times New Roman" w:eastAsia="Calibri" w:hAnsi="Times New Roman" w:cs="Times New Roman"/>
          <w:sz w:val="24"/>
          <w:szCs w:val="24"/>
        </w:rPr>
        <w:t>Ordering Instructions document</w:t>
      </w:r>
    </w:p>
    <w:p w:rsidR="005560F1" w:rsidRDefault="005560F1" w:rsidP="005560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0F1" w:rsidRPr="004C6B23" w:rsidRDefault="005560F1" w:rsidP="005560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B23">
        <w:rPr>
          <w:rFonts w:ascii="Times New Roman" w:eastAsia="Times New Roman" w:hAnsi="Times New Roman" w:cs="Times New Roman"/>
          <w:b/>
          <w:sz w:val="24"/>
          <w:szCs w:val="24"/>
        </w:rPr>
        <w:t>Dealer Responsibilities</w:t>
      </w:r>
    </w:p>
    <w:p w:rsidR="005560F1" w:rsidRPr="00550733" w:rsidRDefault="005560F1" w:rsidP="005560F1">
      <w:pPr>
        <w:pStyle w:val="ListParagraph"/>
        <w:numPr>
          <w:ilvl w:val="2"/>
          <w:numId w:val="4"/>
        </w:numPr>
        <w:tabs>
          <w:tab w:val="clear" w:pos="21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24"/>
        </w:rPr>
      </w:pPr>
      <w:r w:rsidRPr="00550733">
        <w:rPr>
          <w:rFonts w:ascii="Times New Roman" w:eastAsia="Times New Roman" w:hAnsi="Times New Roman" w:cs="Times New Roman"/>
          <w:sz w:val="24"/>
          <w:szCs w:val="24"/>
        </w:rPr>
        <w:t xml:space="preserve">Dealer will receive standard quote from SYNNEX sales team.  Dealer will receive PEPPM contract price and their regular </w:t>
      </w:r>
      <w:proofErr w:type="spellStart"/>
      <w:r w:rsidRPr="00550733">
        <w:rPr>
          <w:rFonts w:ascii="Times New Roman" w:eastAsia="Times New Roman" w:hAnsi="Times New Roman" w:cs="Times New Roman"/>
          <w:sz w:val="24"/>
          <w:szCs w:val="24"/>
        </w:rPr>
        <w:t>grided</w:t>
      </w:r>
      <w:proofErr w:type="spellEnd"/>
      <w:r w:rsidRPr="00550733">
        <w:rPr>
          <w:rFonts w:ascii="Times New Roman" w:eastAsia="Times New Roman" w:hAnsi="Times New Roman" w:cs="Times New Roman"/>
          <w:sz w:val="24"/>
          <w:szCs w:val="24"/>
        </w:rPr>
        <w:t xml:space="preserve"> cost from SYNNEX.</w:t>
      </w:r>
    </w:p>
    <w:p w:rsidR="005560F1" w:rsidRPr="00550733" w:rsidRDefault="005560F1" w:rsidP="005560F1">
      <w:pPr>
        <w:pStyle w:val="ListParagraph"/>
        <w:numPr>
          <w:ilvl w:val="2"/>
          <w:numId w:val="4"/>
        </w:numPr>
        <w:tabs>
          <w:tab w:val="clear" w:pos="21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24"/>
        </w:rPr>
      </w:pPr>
      <w:r w:rsidRPr="00550733">
        <w:rPr>
          <w:rFonts w:ascii="Times New Roman" w:eastAsia="Times New Roman" w:hAnsi="Times New Roman" w:cs="Times New Roman"/>
          <w:sz w:val="24"/>
          <w:szCs w:val="24"/>
        </w:rPr>
        <w:t>PEPPM contract pricing can be found at:</w:t>
      </w:r>
      <w:r w:rsidRPr="00550733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 xml:space="preserve"> </w:t>
      </w:r>
      <w:r w:rsidRPr="00550733">
        <w:rPr>
          <w:rFonts w:ascii="Times New Roman" w:eastAsiaTheme="minorEastAsia" w:hAnsi="Times New Roman" w:cs="Times New Roman"/>
          <w:color w:val="000000" w:themeColor="text1"/>
          <w:kern w:val="24"/>
          <w:u w:val="single"/>
        </w:rPr>
        <w:t>http://www.synnex</w:t>
      </w:r>
      <w:r>
        <w:rPr>
          <w:rFonts w:ascii="Times New Roman" w:eastAsiaTheme="minorEastAsia" w:hAnsi="Times New Roman" w:cs="Times New Roman"/>
          <w:color w:val="000000" w:themeColor="text1"/>
          <w:kern w:val="24"/>
          <w:u w:val="single"/>
        </w:rPr>
        <w:t>corp</w:t>
      </w:r>
      <w:r w:rsidRPr="00550733">
        <w:rPr>
          <w:rFonts w:ascii="Times New Roman" w:eastAsiaTheme="minorEastAsia" w:hAnsi="Times New Roman" w:cs="Times New Roman"/>
          <w:color w:val="000000" w:themeColor="text1"/>
          <w:kern w:val="24"/>
          <w:u w:val="single"/>
        </w:rPr>
        <w:t>.com/</w:t>
      </w:r>
      <w:r>
        <w:rPr>
          <w:rFonts w:ascii="Times New Roman" w:eastAsiaTheme="minorEastAsia" w:hAnsi="Times New Roman" w:cs="Times New Roman"/>
          <w:color w:val="000000" w:themeColor="text1"/>
          <w:kern w:val="24"/>
          <w:u w:val="single"/>
        </w:rPr>
        <w:t>us/govsolv/peppm/</w:t>
      </w:r>
    </w:p>
    <w:p w:rsidR="005560F1" w:rsidRPr="003830EA" w:rsidRDefault="005560F1" w:rsidP="005560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0EA">
        <w:rPr>
          <w:rFonts w:ascii="Times New Roman" w:eastAsia="Times New Roman" w:hAnsi="Times New Roman" w:cs="Times New Roman"/>
          <w:sz w:val="24"/>
          <w:szCs w:val="24"/>
        </w:rPr>
        <w:t xml:space="preserve">Dealer will be responsible for adhering to contract terms and providing correct ceiling costs to the approved Eligible Agency.  </w:t>
      </w:r>
    </w:p>
    <w:p w:rsidR="005560F1" w:rsidRPr="003830EA" w:rsidRDefault="005560F1" w:rsidP="005560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0EA">
        <w:rPr>
          <w:rFonts w:ascii="Times New Roman" w:eastAsia="Times New Roman" w:hAnsi="Times New Roman" w:cs="Times New Roman"/>
          <w:sz w:val="24"/>
          <w:szCs w:val="24"/>
        </w:rPr>
        <w:t>Eligible Agency’s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 will stipulate</w:t>
      </w:r>
      <w:r w:rsidR="00234E30">
        <w:rPr>
          <w:rFonts w:ascii="Times New Roman" w:eastAsia="Times New Roman" w:hAnsi="Times New Roman" w:cs="Times New Roman"/>
          <w:sz w:val="24"/>
          <w:szCs w:val="24"/>
        </w:rPr>
        <w:t xml:space="preserve"> “As Per PEPPM Contract # 528897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830EA">
        <w:rPr>
          <w:rFonts w:ascii="Times New Roman" w:eastAsia="Times New Roman" w:hAnsi="Times New Roman" w:cs="Times New Roman"/>
          <w:sz w:val="24"/>
          <w:szCs w:val="24"/>
        </w:rPr>
        <w:t xml:space="preserve"> and to the Dealer with Dealer’s billing information, e.g. FEIN and address.</w:t>
      </w:r>
    </w:p>
    <w:p w:rsidR="005560F1" w:rsidRPr="003830EA" w:rsidRDefault="005560F1" w:rsidP="005560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Agency’s PO will be issued to the Dealer at </w:t>
      </w:r>
      <w:hyperlink r:id="rId5" w:history="1">
        <w:r w:rsidRPr="008E673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www.Epylon.com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 If the PO is provided directly to the Dealer, then  Dealer needs to fax their quote and the Agency PO to 1-800-636-3779 or email to </w:t>
      </w:r>
      <w:hyperlink r:id="rId6" w:history="1">
        <w:r w:rsidRPr="001C31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orders@peppm.org</w:t>
        </w:r>
      </w:hyperlink>
    </w:p>
    <w:p w:rsidR="005560F1" w:rsidRPr="003830EA" w:rsidRDefault="005560F1" w:rsidP="005560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0EA">
        <w:rPr>
          <w:rFonts w:ascii="Times New Roman" w:eastAsia="Times New Roman" w:hAnsi="Times New Roman" w:cs="Times New Roman"/>
          <w:sz w:val="24"/>
          <w:szCs w:val="24"/>
        </w:rPr>
        <w:t xml:space="preserve">Dealer invoices Eligible Agency and is responsible for payment of the contract fee to PEPPM. </w:t>
      </w:r>
    </w:p>
    <w:p w:rsidR="005560F1" w:rsidRPr="003830EA" w:rsidRDefault="005560F1" w:rsidP="005560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0EA">
        <w:rPr>
          <w:rFonts w:ascii="Times New Roman" w:eastAsia="Times New Roman" w:hAnsi="Times New Roman" w:cs="Times New Roman"/>
          <w:sz w:val="24"/>
          <w:szCs w:val="24"/>
        </w:rPr>
        <w:t xml:space="preserve">Contract fee will be 1.75% and is based </w:t>
      </w:r>
      <w:proofErr w:type="gramStart"/>
      <w:r w:rsidRPr="003830EA">
        <w:rPr>
          <w:rFonts w:ascii="Times New Roman" w:eastAsia="Times New Roman" w:hAnsi="Times New Roman" w:cs="Times New Roman"/>
          <w:sz w:val="24"/>
          <w:szCs w:val="24"/>
        </w:rPr>
        <w:t>off of</w:t>
      </w:r>
      <w:proofErr w:type="gramEnd"/>
      <w:r w:rsidRPr="003830EA">
        <w:rPr>
          <w:rFonts w:ascii="Times New Roman" w:eastAsia="Times New Roman" w:hAnsi="Times New Roman" w:cs="Times New Roman"/>
          <w:sz w:val="24"/>
          <w:szCs w:val="24"/>
        </w:rPr>
        <w:t xml:space="preserve"> the total cost charged to the end user</w:t>
      </w:r>
    </w:p>
    <w:p w:rsidR="005560F1" w:rsidRDefault="005560F1" w:rsidP="005560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0EA">
        <w:rPr>
          <w:rFonts w:ascii="Times New Roman" w:eastAsia="Times New Roman" w:hAnsi="Times New Roman" w:cs="Times New Roman"/>
          <w:sz w:val="24"/>
          <w:szCs w:val="24"/>
        </w:rPr>
        <w:t xml:space="preserve">Epylon system will provide detailed Point of Sale Reports to both SYNNEX and approved dealers.  </w:t>
      </w:r>
    </w:p>
    <w:p w:rsidR="005560F1" w:rsidRDefault="005560F1" w:rsidP="005560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PEPPM orders must be procured directly from SYNNEX.  Failure to do so, will result in termination from the contract.</w:t>
      </w:r>
    </w:p>
    <w:p w:rsidR="005560F1" w:rsidRDefault="005560F1" w:rsidP="004C6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6812" w:rsidRDefault="00366812" w:rsidP="004C6B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Eligible Agencies Procurement Proces</w:t>
      </w:r>
      <w:r w:rsidR="008972EE">
        <w:rPr>
          <w:rFonts w:ascii="Times New Roman" w:hAnsi="Times New Roman" w:cs="Times New Roman"/>
          <w:b/>
          <w:sz w:val="24"/>
          <w:szCs w:val="24"/>
        </w:rPr>
        <w:t>s</w:t>
      </w:r>
    </w:p>
    <w:p w:rsidR="00366812" w:rsidRPr="00366812" w:rsidRDefault="00366812" w:rsidP="004C6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Eligible Agencies can view contract award information, ordering instructions and price lists at </w:t>
      </w:r>
      <w:hyperlink r:id="rId7" w:history="1">
        <w:r w:rsidR="00595B2B" w:rsidRPr="00955319">
          <w:rPr>
            <w:rStyle w:val="Hyperlink"/>
            <w:rFonts w:ascii="Times New Roman" w:hAnsi="Times New Roman" w:cs="Times New Roman"/>
            <w:sz w:val="24"/>
            <w:szCs w:val="24"/>
          </w:rPr>
          <w:t>www.peppm.org</w:t>
        </w:r>
      </w:hyperlink>
      <w:r w:rsidR="00595B2B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="00595B2B" w:rsidRPr="00955319">
          <w:rPr>
            <w:rStyle w:val="Hyperlink"/>
            <w:rFonts w:ascii="Times New Roman" w:hAnsi="Times New Roman" w:cs="Times New Roman"/>
            <w:sz w:val="24"/>
            <w:szCs w:val="24"/>
          </w:rPr>
          <w:t>www.epylon.com</w:t>
        </w:r>
      </w:hyperlink>
      <w:r w:rsidR="00595B2B">
        <w:rPr>
          <w:rFonts w:ascii="Times New Roman" w:hAnsi="Times New Roman" w:cs="Times New Roman"/>
          <w:sz w:val="24"/>
          <w:szCs w:val="24"/>
        </w:rPr>
        <w:t>.  Eligible Agencies have the option of buying via the Epylon web</w:t>
      </w:r>
      <w:r w:rsidR="00265AC5">
        <w:rPr>
          <w:rFonts w:ascii="Times New Roman" w:hAnsi="Times New Roman" w:cs="Times New Roman"/>
          <w:sz w:val="24"/>
          <w:szCs w:val="24"/>
        </w:rPr>
        <w:t>s</w:t>
      </w:r>
      <w:r w:rsidR="00595B2B">
        <w:rPr>
          <w:rFonts w:ascii="Times New Roman" w:hAnsi="Times New Roman" w:cs="Times New Roman"/>
          <w:sz w:val="24"/>
          <w:szCs w:val="24"/>
        </w:rPr>
        <w:t>ite or by faxing orders to PEPPM which will process the orders and transmit them to the Dealer through the Epylon eCommerce system.</w:t>
      </w:r>
    </w:p>
    <w:p w:rsidR="00366812" w:rsidRDefault="00366812" w:rsidP="004C6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50F2" w:rsidRPr="004C6B23" w:rsidRDefault="005550F2" w:rsidP="004C6B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6B23">
        <w:rPr>
          <w:rFonts w:ascii="Times New Roman" w:hAnsi="Times New Roman" w:cs="Times New Roman"/>
          <w:b/>
          <w:sz w:val="24"/>
          <w:szCs w:val="24"/>
        </w:rPr>
        <w:t>SYNNEX Contacts</w:t>
      </w:r>
    </w:p>
    <w:p w:rsidR="005550F2" w:rsidRPr="004C6B23" w:rsidRDefault="005550F2" w:rsidP="004C6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23">
        <w:rPr>
          <w:rFonts w:ascii="Times New Roman" w:hAnsi="Times New Roman" w:cs="Times New Roman"/>
          <w:sz w:val="24"/>
          <w:szCs w:val="24"/>
        </w:rPr>
        <w:t>Team Contact</w:t>
      </w:r>
      <w:r w:rsidRPr="004C6B23">
        <w:rPr>
          <w:rFonts w:ascii="Times New Roman" w:hAnsi="Times New Roman" w:cs="Times New Roman"/>
          <w:sz w:val="24"/>
          <w:szCs w:val="24"/>
        </w:rPr>
        <w:tab/>
        <w:t>:</w:t>
      </w:r>
      <w:r w:rsidRPr="004C6B23">
        <w:rPr>
          <w:rFonts w:ascii="Times New Roman" w:hAnsi="Times New Roman" w:cs="Times New Roman"/>
          <w:b/>
          <w:sz w:val="24"/>
          <w:szCs w:val="24"/>
        </w:rPr>
        <w:tab/>
      </w:r>
      <w:hyperlink r:id="rId9" w:history="1">
        <w:r w:rsidRPr="004C6B23">
          <w:rPr>
            <w:rStyle w:val="Hyperlink"/>
            <w:rFonts w:ascii="Times New Roman" w:hAnsi="Times New Roman" w:cs="Times New Roman"/>
            <w:sz w:val="24"/>
            <w:szCs w:val="24"/>
          </w:rPr>
          <w:t>PEPPM@synnex.com</w:t>
        </w:r>
      </w:hyperlink>
      <w:r w:rsidRPr="004C6B23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r w:rsidRPr="004C6B23">
        <w:rPr>
          <w:rStyle w:val="Hyperlink"/>
          <w:rFonts w:ascii="Times New Roman" w:hAnsi="Times New Roman" w:cs="Times New Roman"/>
          <w:sz w:val="24"/>
          <w:szCs w:val="24"/>
        </w:rPr>
        <w:tab/>
      </w:r>
      <w:r w:rsidRPr="004C6B23">
        <w:rPr>
          <w:rFonts w:ascii="Times New Roman" w:hAnsi="Times New Roman" w:cs="Times New Roman"/>
          <w:sz w:val="24"/>
          <w:szCs w:val="24"/>
        </w:rPr>
        <w:t>1-877-230-5680</w:t>
      </w:r>
    </w:p>
    <w:p w:rsidR="005550F2" w:rsidRPr="004C6B23" w:rsidRDefault="005550F2" w:rsidP="004C6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23">
        <w:rPr>
          <w:rFonts w:ascii="Times New Roman" w:hAnsi="Times New Roman" w:cs="Times New Roman"/>
          <w:sz w:val="24"/>
          <w:szCs w:val="24"/>
        </w:rPr>
        <w:t>Heather Hunter:</w:t>
      </w:r>
      <w:r w:rsidRPr="004C6B23">
        <w:rPr>
          <w:rFonts w:ascii="Times New Roman" w:hAnsi="Times New Roman" w:cs="Times New Roman"/>
          <w:b/>
          <w:sz w:val="24"/>
          <w:szCs w:val="24"/>
        </w:rPr>
        <w:tab/>
      </w:r>
      <w:hyperlink r:id="rId10" w:history="1">
        <w:r w:rsidRPr="004C6B23">
          <w:rPr>
            <w:rStyle w:val="Hyperlink"/>
            <w:rFonts w:ascii="Times New Roman" w:hAnsi="Times New Roman" w:cs="Times New Roman"/>
            <w:sz w:val="24"/>
            <w:szCs w:val="24"/>
          </w:rPr>
          <w:t>heatherh@synnex.com</w:t>
        </w:r>
      </w:hyperlink>
      <w:r w:rsidRPr="004C6B23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r w:rsidRPr="004C6B23">
        <w:rPr>
          <w:rStyle w:val="Hyperlink"/>
          <w:rFonts w:ascii="Times New Roman" w:hAnsi="Times New Roman" w:cs="Times New Roman"/>
          <w:sz w:val="24"/>
          <w:szCs w:val="24"/>
        </w:rPr>
        <w:tab/>
      </w:r>
      <w:r w:rsidRPr="004C6B23">
        <w:rPr>
          <w:rFonts w:ascii="Times New Roman" w:hAnsi="Times New Roman" w:cs="Times New Roman"/>
          <w:sz w:val="24"/>
          <w:szCs w:val="24"/>
        </w:rPr>
        <w:t>1-800-456-4822, ext. 494064</w:t>
      </w:r>
    </w:p>
    <w:p w:rsidR="005550F2" w:rsidRPr="004C6B23" w:rsidRDefault="00234E30" w:rsidP="004C6B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McEachern</w:t>
      </w:r>
      <w:r w:rsidR="005550F2" w:rsidRPr="004C6B23">
        <w:rPr>
          <w:rFonts w:ascii="Times New Roman" w:hAnsi="Times New Roman" w:cs="Times New Roman"/>
          <w:b/>
          <w:sz w:val="24"/>
          <w:szCs w:val="24"/>
        </w:rPr>
        <w:tab/>
      </w:r>
      <w:hyperlink r:id="rId11" w:history="1">
        <w:r w:rsidRPr="00B72300">
          <w:rPr>
            <w:rStyle w:val="Hyperlink"/>
            <w:rFonts w:ascii="Times New Roman" w:hAnsi="Times New Roman" w:cs="Times New Roman"/>
            <w:sz w:val="24"/>
            <w:szCs w:val="24"/>
          </w:rPr>
          <w:t>jennifermce@synnex.com</w:t>
        </w:r>
      </w:hyperlink>
      <w:r w:rsidR="005550F2" w:rsidRPr="004C6B23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r w:rsidR="005550F2" w:rsidRPr="004C6B23">
        <w:rPr>
          <w:rStyle w:val="Hyperlink"/>
          <w:rFonts w:ascii="Times New Roman" w:hAnsi="Times New Roman" w:cs="Times New Roman"/>
          <w:sz w:val="24"/>
          <w:szCs w:val="24"/>
        </w:rPr>
        <w:tab/>
      </w:r>
      <w:r w:rsidR="005550F2" w:rsidRPr="004C6B23">
        <w:rPr>
          <w:rFonts w:ascii="Times New Roman" w:hAnsi="Times New Roman" w:cs="Times New Roman"/>
          <w:sz w:val="24"/>
          <w:szCs w:val="24"/>
        </w:rPr>
        <w:t>1-800-456-4822, ext. 494079</w:t>
      </w:r>
    </w:p>
    <w:p w:rsidR="005550F2" w:rsidRPr="004C6B23" w:rsidRDefault="005550F2" w:rsidP="004C6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50F2" w:rsidRPr="004C6B23" w:rsidRDefault="005550F2" w:rsidP="004C6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23">
        <w:rPr>
          <w:rFonts w:ascii="Times New Roman" w:hAnsi="Times New Roman" w:cs="Times New Roman"/>
          <w:b/>
          <w:sz w:val="24"/>
          <w:szCs w:val="24"/>
        </w:rPr>
        <w:t>Freight</w:t>
      </w:r>
      <w:r w:rsidR="0055073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4C6B23">
        <w:rPr>
          <w:rFonts w:ascii="Times New Roman" w:hAnsi="Times New Roman" w:cs="Times New Roman"/>
          <w:sz w:val="24"/>
          <w:szCs w:val="24"/>
        </w:rPr>
        <w:t xml:space="preserve">FOB Destination </w:t>
      </w:r>
      <w:r w:rsidR="00983F9C">
        <w:rPr>
          <w:rFonts w:ascii="Times New Roman" w:hAnsi="Times New Roman" w:cs="Times New Roman"/>
          <w:sz w:val="24"/>
          <w:szCs w:val="24"/>
        </w:rPr>
        <w:t xml:space="preserve">CONUS </w:t>
      </w:r>
      <w:r w:rsidRPr="004C6B23">
        <w:rPr>
          <w:rFonts w:ascii="Times New Roman" w:hAnsi="Times New Roman" w:cs="Times New Roman"/>
          <w:sz w:val="24"/>
          <w:szCs w:val="24"/>
        </w:rPr>
        <w:t>standard ground freight</w:t>
      </w:r>
      <w:r w:rsidR="009D5C71">
        <w:rPr>
          <w:rFonts w:ascii="Times New Roman" w:hAnsi="Times New Roman" w:cs="Times New Roman"/>
          <w:sz w:val="24"/>
          <w:szCs w:val="24"/>
        </w:rPr>
        <w:t xml:space="preserve"> for orders over $500</w:t>
      </w:r>
    </w:p>
    <w:p w:rsidR="005550F2" w:rsidRPr="004C6B23" w:rsidRDefault="005550F2" w:rsidP="004C6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50F2" w:rsidRPr="004C6B23" w:rsidRDefault="005550F2" w:rsidP="00913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23">
        <w:rPr>
          <w:rFonts w:ascii="Times New Roman" w:hAnsi="Times New Roman" w:cs="Times New Roman"/>
          <w:b/>
          <w:sz w:val="24"/>
          <w:szCs w:val="24"/>
        </w:rPr>
        <w:t>Payment Terms</w:t>
      </w:r>
      <w:r w:rsidR="0055073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4C6B23">
        <w:rPr>
          <w:rFonts w:ascii="Times New Roman" w:hAnsi="Times New Roman" w:cs="Times New Roman"/>
          <w:sz w:val="24"/>
          <w:szCs w:val="24"/>
        </w:rPr>
        <w:t>Net 30 Terms</w:t>
      </w:r>
    </w:p>
    <w:p w:rsidR="005550F2" w:rsidRPr="004C6B23" w:rsidRDefault="005550F2" w:rsidP="009131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50F2" w:rsidRPr="004C6B23" w:rsidRDefault="005550F2" w:rsidP="00913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23">
        <w:rPr>
          <w:rFonts w:ascii="Times New Roman" w:hAnsi="Times New Roman" w:cs="Times New Roman"/>
          <w:b/>
          <w:sz w:val="24"/>
          <w:szCs w:val="24"/>
        </w:rPr>
        <w:t>Contract Fee</w:t>
      </w:r>
      <w:r w:rsidR="0055073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4C6B23">
        <w:rPr>
          <w:rFonts w:ascii="Times New Roman" w:hAnsi="Times New Roman" w:cs="Times New Roman"/>
          <w:sz w:val="24"/>
          <w:szCs w:val="24"/>
        </w:rPr>
        <w:t>1.75% based off of the cost being charged to the end user.</w:t>
      </w:r>
      <w:r w:rsidR="00551C7E">
        <w:rPr>
          <w:rFonts w:ascii="Times New Roman" w:hAnsi="Times New Roman" w:cs="Times New Roman"/>
          <w:sz w:val="24"/>
          <w:szCs w:val="24"/>
        </w:rPr>
        <w:t xml:space="preserve">  Epylon will provide detailed report to show sales on the contract and fee amount due by each reseller.</w:t>
      </w:r>
      <w:r w:rsidR="00922CE5">
        <w:rPr>
          <w:rFonts w:ascii="Times New Roman" w:hAnsi="Times New Roman" w:cs="Times New Roman"/>
          <w:sz w:val="24"/>
          <w:szCs w:val="24"/>
        </w:rPr>
        <w:t xml:space="preserve">  Each approved reseller will be billed directly from PEPPM for the contract fee due.</w:t>
      </w:r>
    </w:p>
    <w:p w:rsidR="00913138" w:rsidRDefault="00913138" w:rsidP="00913138">
      <w:pPr>
        <w:pStyle w:val="Default"/>
        <w:rPr>
          <w:b/>
          <w:bCs/>
        </w:rPr>
      </w:pPr>
    </w:p>
    <w:p w:rsidR="00366812" w:rsidRPr="00554750" w:rsidRDefault="00366812" w:rsidP="00913138">
      <w:pPr>
        <w:pStyle w:val="Default"/>
        <w:rPr>
          <w:bCs/>
        </w:rPr>
      </w:pPr>
      <w:r>
        <w:rPr>
          <w:b/>
          <w:bCs/>
        </w:rPr>
        <w:t>Open Market</w:t>
      </w:r>
      <w:r w:rsidR="00550733">
        <w:rPr>
          <w:b/>
          <w:bCs/>
        </w:rPr>
        <w:t xml:space="preserve">:  </w:t>
      </w:r>
      <w:r w:rsidR="009E2F0C">
        <w:rPr>
          <w:bCs/>
        </w:rPr>
        <w:t xml:space="preserve">Open Market is allowed as long as it is communicated to the </w:t>
      </w:r>
      <w:proofErr w:type="spellStart"/>
      <w:r w:rsidR="009E2F0C">
        <w:rPr>
          <w:bCs/>
        </w:rPr>
        <w:t>enduser</w:t>
      </w:r>
      <w:proofErr w:type="spellEnd"/>
      <w:r w:rsidR="009E2F0C">
        <w:rPr>
          <w:bCs/>
        </w:rPr>
        <w:t xml:space="preserve"> agency.</w:t>
      </w:r>
    </w:p>
    <w:p w:rsidR="003830EA" w:rsidRDefault="003830EA" w:rsidP="00913138">
      <w:pPr>
        <w:pStyle w:val="Default"/>
        <w:rPr>
          <w:b/>
          <w:bCs/>
        </w:rPr>
      </w:pPr>
    </w:p>
    <w:p w:rsidR="00666838" w:rsidRDefault="00C75FB3" w:rsidP="00913138">
      <w:pPr>
        <w:pStyle w:val="Default"/>
        <w:rPr>
          <w:b/>
          <w:bCs/>
        </w:rPr>
      </w:pPr>
      <w:r w:rsidRPr="004C6B23">
        <w:rPr>
          <w:b/>
          <w:bCs/>
        </w:rPr>
        <w:t xml:space="preserve">Historically Under-Utilized Businesses (HUBs) </w:t>
      </w:r>
    </w:p>
    <w:p w:rsidR="00C75FB3" w:rsidRPr="004C6B23" w:rsidRDefault="00C75FB3" w:rsidP="00913138">
      <w:pPr>
        <w:pStyle w:val="Default"/>
      </w:pPr>
      <w:r w:rsidRPr="004C6B23">
        <w:t xml:space="preserve">For the purpose of identifying businesses owned by minorities, women or disabled veterans, </w:t>
      </w:r>
      <w:proofErr w:type="gramStart"/>
      <w:r w:rsidR="005550F2" w:rsidRPr="004C6B23">
        <w:t xml:space="preserve">PEPPM  </w:t>
      </w:r>
      <w:r w:rsidRPr="004C6B23">
        <w:t>requests</w:t>
      </w:r>
      <w:proofErr w:type="gramEnd"/>
      <w:r w:rsidRPr="004C6B23">
        <w:t xml:space="preserve"> any minority-owned, women-owned, or disabled-veteran-owned business to identify their status as such so that it can be made known to inte</w:t>
      </w:r>
      <w:r w:rsidR="005550F2" w:rsidRPr="004C6B23">
        <w:t>rested agencies</w:t>
      </w:r>
      <w:r w:rsidRPr="004C6B23">
        <w:t>.</w:t>
      </w:r>
    </w:p>
    <w:p w:rsidR="00913138" w:rsidRDefault="00913138" w:rsidP="00913138">
      <w:pPr>
        <w:pStyle w:val="Default"/>
        <w:rPr>
          <w:b/>
        </w:rPr>
      </w:pPr>
    </w:p>
    <w:p w:rsidR="00C75FB3" w:rsidRPr="004C6B23" w:rsidRDefault="006F4AC5" w:rsidP="00913138">
      <w:pPr>
        <w:pStyle w:val="Default"/>
        <w:rPr>
          <w:b/>
        </w:rPr>
      </w:pPr>
      <w:r w:rsidRPr="004C6B23">
        <w:rPr>
          <w:b/>
        </w:rPr>
        <w:t>E-Rate Program Compliance</w:t>
      </w:r>
    </w:p>
    <w:p w:rsidR="006F4AC5" w:rsidRPr="004C6B23" w:rsidRDefault="006F4AC5" w:rsidP="00913138">
      <w:pPr>
        <w:pStyle w:val="Default"/>
      </w:pPr>
      <w:r w:rsidRPr="004C6B23">
        <w:t>Awarded Vendors for product lines covered by the E-rate program will comply with all requirements of the Universal Service program of the Telecommunications Act of 1996, commonly referred to as the E-rate Program</w:t>
      </w:r>
    </w:p>
    <w:p w:rsidR="00DF2CAF" w:rsidRDefault="00DF2CAF" w:rsidP="00913138">
      <w:pPr>
        <w:pStyle w:val="Default"/>
        <w:rPr>
          <w:b/>
        </w:rPr>
      </w:pPr>
    </w:p>
    <w:p w:rsidR="009E3F39" w:rsidRPr="004C6B23" w:rsidRDefault="00666838" w:rsidP="00913138">
      <w:pPr>
        <w:pStyle w:val="Default"/>
      </w:pPr>
      <w:r w:rsidRPr="00666838">
        <w:rPr>
          <w:b/>
        </w:rPr>
        <w:t>Authorized Dealers</w:t>
      </w:r>
      <w:r w:rsidR="00550733">
        <w:rPr>
          <w:b/>
        </w:rPr>
        <w:t xml:space="preserve">:  </w:t>
      </w:r>
      <w:r w:rsidR="00762532">
        <w:t>Please review the Reseller database online.</w:t>
      </w:r>
    </w:p>
    <w:sectPr w:rsidR="009E3F39" w:rsidRPr="004C6B23" w:rsidSect="00975518">
      <w:pgSz w:w="15840" w:h="12240" w:orient="landscape"/>
      <w:pgMar w:top="1296" w:right="1008" w:bottom="12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10D"/>
    <w:multiLevelType w:val="hybridMultilevel"/>
    <w:tmpl w:val="461283D2"/>
    <w:lvl w:ilvl="0" w:tplc="4458412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44403"/>
    <w:multiLevelType w:val="hybridMultilevel"/>
    <w:tmpl w:val="D2048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262A8"/>
    <w:multiLevelType w:val="hybridMultilevel"/>
    <w:tmpl w:val="91920D38"/>
    <w:lvl w:ilvl="0" w:tplc="73F28B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92794"/>
    <w:multiLevelType w:val="hybridMultilevel"/>
    <w:tmpl w:val="E57E8FBC"/>
    <w:lvl w:ilvl="0" w:tplc="6FF6CE7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40980"/>
    <w:multiLevelType w:val="hybridMultilevel"/>
    <w:tmpl w:val="60E21F06"/>
    <w:lvl w:ilvl="0" w:tplc="9BD24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9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C2E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2B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EF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8C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A0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D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E5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5C4525"/>
    <w:multiLevelType w:val="hybridMultilevel"/>
    <w:tmpl w:val="AB4E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B3"/>
    <w:rsid w:val="000058C2"/>
    <w:rsid w:val="001C319E"/>
    <w:rsid w:val="00207B1B"/>
    <w:rsid w:val="00234E30"/>
    <w:rsid w:val="00265AC5"/>
    <w:rsid w:val="002B4B95"/>
    <w:rsid w:val="003605F5"/>
    <w:rsid w:val="00366812"/>
    <w:rsid w:val="003830EA"/>
    <w:rsid w:val="0038512A"/>
    <w:rsid w:val="004A4B37"/>
    <w:rsid w:val="004C6B23"/>
    <w:rsid w:val="004D746B"/>
    <w:rsid w:val="004E100A"/>
    <w:rsid w:val="00550733"/>
    <w:rsid w:val="00551C7E"/>
    <w:rsid w:val="00554750"/>
    <w:rsid w:val="005550F2"/>
    <w:rsid w:val="005560F1"/>
    <w:rsid w:val="00595B2B"/>
    <w:rsid w:val="00666838"/>
    <w:rsid w:val="006A701C"/>
    <w:rsid w:val="006D3F99"/>
    <w:rsid w:val="006E1448"/>
    <w:rsid w:val="006F4AC5"/>
    <w:rsid w:val="00716B13"/>
    <w:rsid w:val="00762532"/>
    <w:rsid w:val="007975E5"/>
    <w:rsid w:val="007F3BEC"/>
    <w:rsid w:val="00882689"/>
    <w:rsid w:val="008972EE"/>
    <w:rsid w:val="00913138"/>
    <w:rsid w:val="00922CE5"/>
    <w:rsid w:val="00975518"/>
    <w:rsid w:val="00983F9C"/>
    <w:rsid w:val="009C1CBC"/>
    <w:rsid w:val="009D5C71"/>
    <w:rsid w:val="009D638D"/>
    <w:rsid w:val="009E2F0C"/>
    <w:rsid w:val="009E3F39"/>
    <w:rsid w:val="00A84989"/>
    <w:rsid w:val="00B0129C"/>
    <w:rsid w:val="00B01CA8"/>
    <w:rsid w:val="00B0343A"/>
    <w:rsid w:val="00BD1151"/>
    <w:rsid w:val="00C006A1"/>
    <w:rsid w:val="00C13650"/>
    <w:rsid w:val="00C332C3"/>
    <w:rsid w:val="00C75FB3"/>
    <w:rsid w:val="00CE1BAD"/>
    <w:rsid w:val="00D377F4"/>
    <w:rsid w:val="00DA68A7"/>
    <w:rsid w:val="00DD4C97"/>
    <w:rsid w:val="00DF2CAF"/>
    <w:rsid w:val="00E814E1"/>
    <w:rsid w:val="00F232E1"/>
    <w:rsid w:val="00F9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F0ED"/>
  <w15:docId w15:val="{C2D2309C-D620-4E23-95AB-11A0CC3E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50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50F2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4E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92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yl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ppm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gsc-fs4\GSA\GSA\Contracts\PEPPM\Current%20Files\orders@peppm.org" TargetMode="External"/><Relationship Id="rId11" Type="http://schemas.openxmlformats.org/officeDocument/2006/relationships/hyperlink" Target="mailto:jennifermce@synnex.com" TargetMode="External"/><Relationship Id="rId5" Type="http://schemas.openxmlformats.org/officeDocument/2006/relationships/hyperlink" Target="http://www.Epylon.com" TargetMode="External"/><Relationship Id="rId10" Type="http://schemas.openxmlformats.org/officeDocument/2006/relationships/hyperlink" Target="mailto:heatherh@synne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PPM@synn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 Corp.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Somers</dc:creator>
  <cp:lastModifiedBy>Heather Hunter</cp:lastModifiedBy>
  <cp:revision>2</cp:revision>
  <dcterms:created xsi:type="dcterms:W3CDTF">2018-12-06T15:30:00Z</dcterms:created>
  <dcterms:modified xsi:type="dcterms:W3CDTF">2018-12-06T15:30:00Z</dcterms:modified>
</cp:coreProperties>
</file>